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EF9"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0E79D30D" wp14:editId="72A26339">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AC5892D" wp14:editId="672C6CC5">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1D05FDE5" w14:textId="77777777" w:rsidR="008B6121" w:rsidRPr="00396BB1" w:rsidRDefault="00396BB1">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sidRPr="00396BB1">
        <w:rPr>
          <w:rFonts w:ascii="Tahoma" w:hAnsi="Tahoma" w:cs="Tahoma"/>
          <w:b/>
        </w:rPr>
        <w:t>M2 Property Group</w:t>
      </w:r>
      <w:r w:rsidR="00466D95" w:rsidRPr="00396BB1">
        <w:rPr>
          <w:rFonts w:ascii="Tahoma" w:hAnsi="Tahoma" w:cs="Tahoma"/>
          <w:b/>
        </w:rPr>
        <w:t>, LLC</w:t>
      </w:r>
    </w:p>
    <w:p w14:paraId="09EA025A" w14:textId="357F608D" w:rsidR="008B6121" w:rsidRPr="00466D95" w:rsidRDefault="007B13F2">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June</w:t>
      </w:r>
      <w:r w:rsidR="003A6669">
        <w:rPr>
          <w:rFonts w:ascii="Tahoma" w:hAnsi="Tahoma" w:cs="Tahoma"/>
        </w:rPr>
        <w:t xml:space="preserve"> </w:t>
      </w:r>
      <w:r>
        <w:rPr>
          <w:rFonts w:ascii="Tahoma" w:hAnsi="Tahoma" w:cs="Tahoma"/>
        </w:rPr>
        <w:t>7, 2024</w:t>
      </w:r>
    </w:p>
    <w:p w14:paraId="7168E719" w14:textId="77777777" w:rsidR="008B6121" w:rsidRDefault="008B6121">
      <w:pPr>
        <w:jc w:val="center"/>
      </w:pPr>
    </w:p>
    <w:p w14:paraId="607690F5" w14:textId="0DD863D0" w:rsidR="008B6121" w:rsidRPr="003A407A" w:rsidRDefault="008B6121">
      <w:pPr>
        <w:rPr>
          <w:rFonts w:ascii="Tahoma" w:hAnsi="Tahoma" w:cs="Tahoma"/>
          <w:sz w:val="16"/>
          <w:szCs w:val="16"/>
        </w:rPr>
      </w:pPr>
      <w:r w:rsidRPr="003A407A">
        <w:rPr>
          <w:rFonts w:ascii="Tahoma" w:hAnsi="Tahoma" w:cs="Tahoma"/>
          <w:sz w:val="16"/>
          <w:szCs w:val="16"/>
        </w:rPr>
        <w:t xml:space="preserve">The resident qualifying criteria, listed below, explains our company policy </w:t>
      </w:r>
      <w:r w:rsidR="003A6669" w:rsidRPr="003A407A">
        <w:rPr>
          <w:rFonts w:ascii="Tahoma" w:hAnsi="Tahoma" w:cs="Tahoma"/>
          <w:sz w:val="16"/>
          <w:szCs w:val="16"/>
        </w:rPr>
        <w:t>regarding</w:t>
      </w:r>
      <w:r w:rsidRPr="003A407A">
        <w:rPr>
          <w:rFonts w:ascii="Tahoma" w:hAnsi="Tahoma" w:cs="Tahoma"/>
          <w:sz w:val="16"/>
          <w:szCs w:val="16"/>
        </w:rPr>
        <w:t xml:space="preserve"> standards, which must be met in order to reside in one of our communities.  It is our sincere intent to offer our residents the best possible community living environment.</w:t>
      </w:r>
    </w:p>
    <w:p w14:paraId="3FA3EFFB" w14:textId="77777777" w:rsidR="008B6121" w:rsidRPr="003A407A" w:rsidRDefault="008B6121">
      <w:pPr>
        <w:rPr>
          <w:rFonts w:ascii="Tahoma" w:hAnsi="Tahoma" w:cs="Tahoma"/>
          <w:sz w:val="16"/>
          <w:szCs w:val="16"/>
        </w:rPr>
      </w:pPr>
    </w:p>
    <w:p w14:paraId="0F3A3605"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47371C62" w14:textId="77777777" w:rsidR="008B6121" w:rsidRPr="003A407A" w:rsidRDefault="008B6121">
      <w:pPr>
        <w:rPr>
          <w:rFonts w:ascii="Tahoma" w:hAnsi="Tahoma" w:cs="Tahoma"/>
          <w:sz w:val="16"/>
          <w:szCs w:val="16"/>
        </w:rPr>
      </w:pPr>
    </w:p>
    <w:p w14:paraId="2848A8C8"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in order to reside in our communities.  </w:t>
      </w:r>
    </w:p>
    <w:p w14:paraId="067FB795"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6CB28812"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181B1C8B" w14:textId="77777777" w:rsidR="00234E2B" w:rsidRPr="003A407A" w:rsidRDefault="00234E2B" w:rsidP="00234E2B">
      <w:pPr>
        <w:rPr>
          <w:rFonts w:ascii="Tahoma" w:hAnsi="Tahoma" w:cs="Tahoma"/>
          <w:sz w:val="16"/>
          <w:szCs w:val="16"/>
        </w:rPr>
      </w:pPr>
    </w:p>
    <w:p w14:paraId="6322B9AA"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46399F4D"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14:paraId="2BA12012"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14:paraId="5F5816DF"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14:paraId="51725C07"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14:paraId="2B414B6A" w14:textId="77777777" w:rsidR="00A527D0" w:rsidRPr="003A407A"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14:paraId="02F6F74E" w14:textId="25B8320B" w:rsidR="00234E2B" w:rsidRPr="003A407A" w:rsidRDefault="00A527D0">
      <w:pPr>
        <w:numPr>
          <w:ilvl w:val="0"/>
          <w:numId w:val="2"/>
        </w:numPr>
        <w:rPr>
          <w:rFonts w:ascii="Tahoma" w:hAnsi="Tahoma" w:cs="Tahoma"/>
          <w:sz w:val="16"/>
          <w:szCs w:val="16"/>
        </w:rPr>
      </w:pPr>
      <w:r w:rsidRPr="003A407A">
        <w:rPr>
          <w:rFonts w:ascii="Tahoma" w:hAnsi="Tahoma" w:cs="Tahoma"/>
          <w:sz w:val="16"/>
          <w:szCs w:val="16"/>
        </w:rPr>
        <w:t>FICO Credit Score:  620+ Approved</w:t>
      </w:r>
      <w:r w:rsidR="000075AE" w:rsidRPr="003A407A">
        <w:rPr>
          <w:rFonts w:ascii="Tahoma" w:hAnsi="Tahoma" w:cs="Tahoma"/>
          <w:sz w:val="16"/>
          <w:szCs w:val="16"/>
        </w:rPr>
        <w:t xml:space="preserve"> with a $</w:t>
      </w:r>
      <w:r w:rsidR="003A6669">
        <w:rPr>
          <w:rFonts w:ascii="Tahoma" w:hAnsi="Tahoma" w:cs="Tahoma"/>
          <w:sz w:val="16"/>
          <w:szCs w:val="16"/>
        </w:rPr>
        <w:t>2</w:t>
      </w:r>
      <w:r w:rsidR="000075AE" w:rsidRPr="003A407A">
        <w:rPr>
          <w:rFonts w:ascii="Tahoma" w:hAnsi="Tahoma" w:cs="Tahoma"/>
          <w:sz w:val="16"/>
          <w:szCs w:val="16"/>
        </w:rPr>
        <w:t>00 non-refundable administrative fee</w:t>
      </w:r>
      <w:r w:rsidRPr="003A407A">
        <w:rPr>
          <w:rFonts w:ascii="Tahoma" w:hAnsi="Tahoma" w:cs="Tahoma"/>
          <w:sz w:val="16"/>
          <w:szCs w:val="16"/>
        </w:rPr>
        <w:t>, 600-619 Approved with</w:t>
      </w:r>
      <w:r w:rsidR="000075AE" w:rsidRPr="003A407A">
        <w:rPr>
          <w:rFonts w:ascii="Tahoma" w:hAnsi="Tahoma" w:cs="Tahoma"/>
          <w:sz w:val="16"/>
          <w:szCs w:val="16"/>
        </w:rPr>
        <w:t xml:space="preserve"> a $</w:t>
      </w:r>
      <w:r w:rsidR="003A6669">
        <w:rPr>
          <w:rFonts w:ascii="Tahoma" w:hAnsi="Tahoma" w:cs="Tahoma"/>
          <w:sz w:val="16"/>
          <w:szCs w:val="16"/>
        </w:rPr>
        <w:t>3</w:t>
      </w:r>
      <w:r w:rsidR="000075AE" w:rsidRPr="003A407A">
        <w:rPr>
          <w:rFonts w:ascii="Tahoma" w:hAnsi="Tahoma" w:cs="Tahoma"/>
          <w:sz w:val="16"/>
          <w:szCs w:val="16"/>
        </w:rPr>
        <w:t>00 non-refundable administrative fee</w:t>
      </w:r>
      <w:r w:rsidRPr="003A407A">
        <w:rPr>
          <w:rFonts w:ascii="Tahoma" w:hAnsi="Tahoma" w:cs="Tahoma"/>
          <w:sz w:val="16"/>
          <w:szCs w:val="16"/>
        </w:rPr>
        <w:t>, 525-599 Approved with co-signer</w:t>
      </w:r>
      <w:r w:rsidR="0004691A" w:rsidRPr="003A407A">
        <w:rPr>
          <w:rFonts w:ascii="Tahoma" w:hAnsi="Tahoma" w:cs="Tahoma"/>
          <w:sz w:val="16"/>
          <w:szCs w:val="16"/>
        </w:rPr>
        <w:t xml:space="preserve"> or</w:t>
      </w:r>
      <w:r w:rsidR="000075AE" w:rsidRPr="003A407A">
        <w:rPr>
          <w:rFonts w:ascii="Tahoma" w:hAnsi="Tahoma" w:cs="Tahoma"/>
          <w:sz w:val="16"/>
          <w:szCs w:val="16"/>
        </w:rPr>
        <w:t xml:space="preserve"> a</w:t>
      </w:r>
      <w:r w:rsidR="0004691A" w:rsidRPr="003A407A">
        <w:rPr>
          <w:rFonts w:ascii="Tahoma" w:hAnsi="Tahoma" w:cs="Tahoma"/>
          <w:sz w:val="16"/>
          <w:szCs w:val="16"/>
        </w:rPr>
        <w:t xml:space="preserve"> </w:t>
      </w:r>
      <w:r w:rsidR="000075AE" w:rsidRPr="003A407A">
        <w:rPr>
          <w:rFonts w:ascii="Tahoma" w:hAnsi="Tahoma" w:cs="Tahoma"/>
          <w:sz w:val="16"/>
          <w:szCs w:val="16"/>
        </w:rPr>
        <w:t>$</w:t>
      </w:r>
      <w:r w:rsidR="003A6669">
        <w:rPr>
          <w:rFonts w:ascii="Tahoma" w:hAnsi="Tahoma" w:cs="Tahoma"/>
          <w:sz w:val="16"/>
          <w:szCs w:val="16"/>
        </w:rPr>
        <w:t>5</w:t>
      </w:r>
      <w:r w:rsidR="000075AE" w:rsidRPr="003A407A">
        <w:rPr>
          <w:rFonts w:ascii="Tahoma" w:hAnsi="Tahoma" w:cs="Tahoma"/>
          <w:sz w:val="16"/>
          <w:szCs w:val="16"/>
        </w:rPr>
        <w:t>00 non-refundable administrative fee</w:t>
      </w:r>
      <w:r w:rsidRPr="003A407A">
        <w:rPr>
          <w:rFonts w:ascii="Tahoma" w:hAnsi="Tahoma" w:cs="Tahoma"/>
          <w:sz w:val="16"/>
          <w:szCs w:val="16"/>
        </w:rPr>
        <w:t>, 524 and under, the application would be declined</w:t>
      </w:r>
    </w:p>
    <w:p w14:paraId="577A1DFD" w14:textId="7A259E57" w:rsidR="00234E2B" w:rsidRPr="003A407A" w:rsidRDefault="00234E2B">
      <w:pPr>
        <w:numPr>
          <w:ilvl w:val="0"/>
          <w:numId w:val="2"/>
        </w:numPr>
        <w:rPr>
          <w:rFonts w:ascii="Tahoma" w:hAnsi="Tahoma" w:cs="Tahoma"/>
          <w:sz w:val="16"/>
          <w:szCs w:val="16"/>
        </w:rPr>
      </w:pPr>
      <w:r w:rsidRPr="003A407A">
        <w:rPr>
          <w:rFonts w:ascii="Tahoma" w:hAnsi="Tahoma" w:cs="Tahoma"/>
          <w:sz w:val="16"/>
          <w:szCs w:val="16"/>
        </w:rPr>
        <w:t xml:space="preserve">Name but no credit bureau report or “No Hit”, Approved with a </w:t>
      </w:r>
      <w:r w:rsidR="000075AE" w:rsidRPr="003A407A">
        <w:rPr>
          <w:rFonts w:ascii="Tahoma" w:hAnsi="Tahoma" w:cs="Tahoma"/>
          <w:sz w:val="16"/>
          <w:szCs w:val="16"/>
        </w:rPr>
        <w:t>$</w:t>
      </w:r>
      <w:r w:rsidR="003A6669">
        <w:rPr>
          <w:rFonts w:ascii="Tahoma" w:hAnsi="Tahoma" w:cs="Tahoma"/>
          <w:sz w:val="16"/>
          <w:szCs w:val="16"/>
        </w:rPr>
        <w:t>2</w:t>
      </w:r>
      <w:r w:rsidR="000075AE" w:rsidRPr="003A407A">
        <w:rPr>
          <w:rFonts w:ascii="Tahoma" w:hAnsi="Tahoma" w:cs="Tahoma"/>
          <w:sz w:val="16"/>
          <w:szCs w:val="16"/>
        </w:rPr>
        <w:t>00 non-refundable administrative fee</w:t>
      </w:r>
      <w:r w:rsidR="000075AE" w:rsidRPr="003A407A" w:rsidDel="000075AE">
        <w:rPr>
          <w:rFonts w:ascii="Tahoma" w:hAnsi="Tahoma" w:cs="Tahoma"/>
          <w:sz w:val="16"/>
          <w:szCs w:val="16"/>
        </w:rPr>
        <w:t xml:space="preserve"> </w:t>
      </w:r>
    </w:p>
    <w:p w14:paraId="02DD44AA" w14:textId="5EE7183A" w:rsidR="00A15E47" w:rsidRDefault="00234E2B">
      <w:pPr>
        <w:numPr>
          <w:ilvl w:val="0"/>
          <w:numId w:val="2"/>
        </w:numPr>
        <w:rPr>
          <w:rFonts w:ascii="Tahoma" w:hAnsi="Tahoma" w:cs="Tahoma"/>
          <w:sz w:val="16"/>
          <w:szCs w:val="16"/>
        </w:rPr>
      </w:pPr>
      <w:r w:rsidRPr="003A407A">
        <w:rPr>
          <w:rFonts w:ascii="Tahoma" w:hAnsi="Tahoma" w:cs="Tahoma"/>
          <w:sz w:val="16"/>
          <w:szCs w:val="16"/>
        </w:rPr>
        <w:t xml:space="preserve">Credit bureau report with only </w:t>
      </w:r>
      <w:r w:rsidR="00240434" w:rsidRPr="003A407A">
        <w:rPr>
          <w:rFonts w:ascii="Tahoma" w:hAnsi="Tahoma" w:cs="Tahoma"/>
          <w:sz w:val="16"/>
          <w:szCs w:val="16"/>
        </w:rPr>
        <w:t>one</w:t>
      </w:r>
      <w:r w:rsidRPr="003A407A">
        <w:rPr>
          <w:rFonts w:ascii="Tahoma" w:hAnsi="Tahoma" w:cs="Tahoma"/>
          <w:sz w:val="16"/>
          <w:szCs w:val="16"/>
        </w:rPr>
        <w:t xml:space="preserve"> trade line,</w:t>
      </w:r>
      <w:r w:rsidR="000075AE" w:rsidRPr="003A407A">
        <w:rPr>
          <w:rFonts w:ascii="Tahoma" w:hAnsi="Tahoma" w:cs="Tahoma"/>
          <w:sz w:val="16"/>
          <w:szCs w:val="16"/>
        </w:rPr>
        <w:t xml:space="preserve"> no FICO score and no collection items,</w:t>
      </w:r>
      <w:r w:rsidRPr="003A407A">
        <w:rPr>
          <w:rFonts w:ascii="Tahoma" w:hAnsi="Tahoma" w:cs="Tahoma"/>
          <w:sz w:val="16"/>
          <w:szCs w:val="16"/>
        </w:rPr>
        <w:t xml:space="preserve"> Approved with a </w:t>
      </w:r>
      <w:r w:rsidR="000075AE" w:rsidRPr="003A407A">
        <w:rPr>
          <w:rFonts w:ascii="Tahoma" w:hAnsi="Tahoma" w:cs="Tahoma"/>
          <w:sz w:val="16"/>
          <w:szCs w:val="16"/>
        </w:rPr>
        <w:t>$</w:t>
      </w:r>
      <w:r w:rsidR="003A6669">
        <w:rPr>
          <w:rFonts w:ascii="Tahoma" w:hAnsi="Tahoma" w:cs="Tahoma"/>
          <w:sz w:val="16"/>
          <w:szCs w:val="16"/>
        </w:rPr>
        <w:t>2</w:t>
      </w:r>
      <w:r w:rsidR="000075AE" w:rsidRPr="003A407A">
        <w:rPr>
          <w:rFonts w:ascii="Tahoma" w:hAnsi="Tahoma" w:cs="Tahoma"/>
          <w:sz w:val="16"/>
          <w:szCs w:val="16"/>
        </w:rPr>
        <w:t>00 non-refundable administrative fee</w:t>
      </w:r>
      <w:r w:rsidR="000075AE" w:rsidRPr="003A407A" w:rsidDel="000075AE">
        <w:rPr>
          <w:rFonts w:ascii="Tahoma" w:hAnsi="Tahoma" w:cs="Tahoma"/>
          <w:sz w:val="16"/>
          <w:szCs w:val="16"/>
        </w:rPr>
        <w:t xml:space="preserve"> </w:t>
      </w:r>
    </w:p>
    <w:p w14:paraId="7D9FD863" w14:textId="4ABFBC58" w:rsidR="008B6121" w:rsidRPr="003A407A" w:rsidRDefault="00A15E47">
      <w:pPr>
        <w:numPr>
          <w:ilvl w:val="0"/>
          <w:numId w:val="2"/>
        </w:numPr>
        <w:rPr>
          <w:rFonts w:ascii="Tahoma" w:hAnsi="Tahoma" w:cs="Tahoma"/>
          <w:sz w:val="16"/>
          <w:szCs w:val="16"/>
        </w:rPr>
      </w:pPr>
      <w:r>
        <w:rPr>
          <w:rFonts w:ascii="Tahoma" w:hAnsi="Tahoma" w:cs="Tahoma"/>
          <w:sz w:val="16"/>
          <w:szCs w:val="16"/>
        </w:rPr>
        <w:t xml:space="preserve">No FICO score with collection items other than medical, application would be </w:t>
      </w:r>
      <w:r w:rsidR="00E26BE9">
        <w:rPr>
          <w:rFonts w:ascii="Tahoma" w:hAnsi="Tahoma" w:cs="Tahoma"/>
          <w:sz w:val="16"/>
          <w:szCs w:val="16"/>
        </w:rPr>
        <w:t>declined</w:t>
      </w:r>
      <w:r w:rsidR="008B6121" w:rsidRPr="003A407A">
        <w:rPr>
          <w:rFonts w:ascii="Tahoma" w:hAnsi="Tahoma" w:cs="Tahoma"/>
          <w:sz w:val="16"/>
          <w:szCs w:val="16"/>
        </w:rPr>
        <w:tab/>
      </w:r>
    </w:p>
    <w:p w14:paraId="783D5BBA" w14:textId="77777777" w:rsidR="008B6121" w:rsidRPr="003A407A" w:rsidRDefault="008B6121">
      <w:pPr>
        <w:rPr>
          <w:rFonts w:ascii="Tahoma" w:hAnsi="Tahoma" w:cs="Tahoma"/>
          <w:sz w:val="16"/>
          <w:szCs w:val="16"/>
        </w:rPr>
      </w:pPr>
    </w:p>
    <w:p w14:paraId="64F4F8F6"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MAY be rejected for any one or more of the following:</w:t>
      </w:r>
    </w:p>
    <w:p w14:paraId="24FFE217" w14:textId="77777777" w:rsidR="008B6121" w:rsidRPr="003A407A" w:rsidRDefault="008B6121">
      <w:pPr>
        <w:rPr>
          <w:rFonts w:ascii="Tahoma" w:hAnsi="Tahoma" w:cs="Tahoma"/>
          <w:sz w:val="16"/>
          <w:szCs w:val="16"/>
        </w:rPr>
      </w:pPr>
    </w:p>
    <w:p w14:paraId="07915557"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14:paraId="6D839AEF"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6CDBA2BB"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40FECCF4"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0A099193"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2C225B37" w14:textId="77777777" w:rsidR="008B6121" w:rsidRPr="003A407A" w:rsidRDefault="008B6121">
      <w:pPr>
        <w:rPr>
          <w:rFonts w:ascii="Tahoma" w:hAnsi="Tahoma" w:cs="Tahoma"/>
          <w:sz w:val="16"/>
          <w:szCs w:val="16"/>
        </w:rPr>
      </w:pPr>
    </w:p>
    <w:p w14:paraId="3D122A44"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MAY be rejected should verification and/or documentation not be sufficient to support the necessary income requirements.  All applicants must show evidence of gross monthly income equal to three (3) times the monthly rent.  Sources of verifiable income include, but are not limited to the following:</w:t>
      </w:r>
    </w:p>
    <w:p w14:paraId="7CEC5202" w14:textId="77777777" w:rsidR="008B6121" w:rsidRPr="003A407A" w:rsidRDefault="008B6121">
      <w:pPr>
        <w:rPr>
          <w:rFonts w:ascii="Tahoma" w:hAnsi="Tahoma" w:cs="Tahoma"/>
          <w:sz w:val="16"/>
          <w:szCs w:val="16"/>
        </w:rPr>
      </w:pPr>
    </w:p>
    <w:p w14:paraId="111318BB" w14:textId="48B9D264"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 xml:space="preserve">Current employment wages (If </w:t>
      </w:r>
      <w:r w:rsidR="003A6669" w:rsidRPr="003A407A">
        <w:rPr>
          <w:rFonts w:ascii="Tahoma" w:hAnsi="Tahoma" w:cs="Tahoma"/>
          <w:sz w:val="16"/>
          <w:szCs w:val="16"/>
        </w:rPr>
        <w:t>self-employed</w:t>
      </w:r>
      <w:r w:rsidRPr="003A407A">
        <w:rPr>
          <w:rFonts w:ascii="Tahoma" w:hAnsi="Tahoma" w:cs="Tahoma"/>
          <w:sz w:val="16"/>
          <w:szCs w:val="16"/>
        </w:rPr>
        <w:t xml:space="preserve">, prior </w:t>
      </w:r>
      <w:r w:rsidR="003A6669" w:rsidRPr="003A407A">
        <w:rPr>
          <w:rFonts w:ascii="Tahoma" w:hAnsi="Tahoma" w:cs="Tahoma"/>
          <w:sz w:val="16"/>
          <w:szCs w:val="16"/>
        </w:rPr>
        <w:t>year’s</w:t>
      </w:r>
      <w:r w:rsidRPr="003A407A">
        <w:rPr>
          <w:rFonts w:ascii="Tahoma" w:hAnsi="Tahoma" w:cs="Tahoma"/>
          <w:sz w:val="16"/>
          <w:szCs w:val="16"/>
        </w:rPr>
        <w:t xml:space="preserve"> tax forms must be provided)</w:t>
      </w:r>
    </w:p>
    <w:p w14:paraId="24A8771B"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6DEE10FC"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610E8D01"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06444A24" w14:textId="77777777" w:rsidR="008B6121" w:rsidRPr="003A407A" w:rsidRDefault="008B6121">
      <w:pPr>
        <w:rPr>
          <w:rFonts w:ascii="Tahoma" w:hAnsi="Tahoma" w:cs="Tahoma"/>
          <w:sz w:val="16"/>
          <w:szCs w:val="16"/>
        </w:rPr>
      </w:pPr>
    </w:p>
    <w:p w14:paraId="04DCF457"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2B9655FE" w14:textId="77777777" w:rsidR="008B6121" w:rsidRPr="003A407A" w:rsidRDefault="008B6121">
      <w:pPr>
        <w:rPr>
          <w:rFonts w:ascii="Tahoma" w:hAnsi="Tahoma" w:cs="Tahoma"/>
          <w:sz w:val="16"/>
          <w:szCs w:val="16"/>
        </w:rPr>
      </w:pPr>
    </w:p>
    <w:p w14:paraId="416DC771"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Generally </w:t>
      </w:r>
      <w:r w:rsidRPr="003A407A">
        <w:rPr>
          <w:rFonts w:ascii="Tahoma" w:hAnsi="Tahoma" w:cs="Tahoma"/>
          <w:sz w:val="16"/>
          <w:szCs w:val="16"/>
        </w:rPr>
        <w:t>Two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loft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particular apartment home.  See your community manager for details.  </w:t>
      </w:r>
      <w:r w:rsidRPr="003A407A">
        <w:rPr>
          <w:rFonts w:ascii="Tahoma" w:hAnsi="Tahoma" w:cs="Tahoma"/>
          <w:sz w:val="16"/>
          <w:szCs w:val="16"/>
        </w:rPr>
        <w:t xml:space="preserve"> </w:t>
      </w:r>
    </w:p>
    <w:p w14:paraId="2B890F8C" w14:textId="77777777" w:rsidR="008B6121" w:rsidRPr="003A407A" w:rsidRDefault="008B6121">
      <w:pPr>
        <w:rPr>
          <w:rFonts w:ascii="Tahoma" w:hAnsi="Tahoma" w:cs="Tahoma"/>
          <w:sz w:val="16"/>
          <w:szCs w:val="16"/>
        </w:rPr>
      </w:pPr>
    </w:p>
    <w:p w14:paraId="44262B00"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074C813C"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1D06934C"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204D7C70"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agrees that the lease shall be terminated in the event the applicant, after moving onto the property is involved in a felony offence involving possession, manufacture or sale of illegal substances, delivery of a controlled substance, actual or potential physical harm to a person.</w:t>
      </w:r>
    </w:p>
    <w:p w14:paraId="57ABA682" w14:textId="77777777"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p>
    <w:p w14:paraId="6F1FB08D" w14:textId="77777777" w:rsidR="00A42AC4" w:rsidRPr="003A407A" w:rsidRDefault="00A42AC4" w:rsidP="00A42AC4">
      <w:pPr>
        <w:ind w:left="1080"/>
        <w:rPr>
          <w:rFonts w:ascii="Tahoma" w:hAnsi="Tahoma" w:cs="Tahoma"/>
          <w:sz w:val="16"/>
          <w:szCs w:val="16"/>
        </w:rPr>
      </w:pPr>
    </w:p>
    <w:p w14:paraId="2DC4FD92"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794096B0" w14:textId="77777777" w:rsidR="008B6121"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3E264D5E" w14:textId="62DC4B26" w:rsidR="009C0600" w:rsidRPr="003A407A" w:rsidRDefault="009C0600">
      <w:pPr>
        <w:numPr>
          <w:ilvl w:val="0"/>
          <w:numId w:val="8"/>
        </w:numPr>
        <w:rPr>
          <w:rFonts w:ascii="Tahoma" w:hAnsi="Tahoma" w:cs="Tahoma"/>
          <w:sz w:val="16"/>
          <w:szCs w:val="16"/>
        </w:rPr>
      </w:pPr>
      <w:r>
        <w:rPr>
          <w:rFonts w:ascii="Tahoma" w:hAnsi="Tahoma" w:cs="Tahoma"/>
          <w:sz w:val="16"/>
          <w:szCs w:val="16"/>
        </w:rPr>
        <w:t>The hold fee is refundable if the application is declined, or if the applicant cancels within 72-hours of approval.</w:t>
      </w:r>
    </w:p>
    <w:p w14:paraId="3DE1D72C"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1C0888EE" w14:textId="77777777" w:rsidR="00C41DC3" w:rsidRDefault="008B6121">
      <w:pPr>
        <w:numPr>
          <w:ilvl w:val="0"/>
          <w:numId w:val="8"/>
        </w:numPr>
        <w:rPr>
          <w:rFonts w:ascii="Tahoma" w:hAnsi="Tahoma" w:cs="Tahoma"/>
          <w:sz w:val="16"/>
          <w:szCs w:val="16"/>
        </w:rPr>
      </w:pPr>
      <w:r w:rsidRPr="003A407A">
        <w:rPr>
          <w:rFonts w:ascii="Tahoma" w:hAnsi="Tahoma" w:cs="Tahoma"/>
          <w:sz w:val="16"/>
          <w:szCs w:val="16"/>
        </w:rPr>
        <w:t>Please note that the rental criteria are current guidelines.  There may be residents and occupants residing at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p w14:paraId="68B48F4B" w14:textId="1290DDA9" w:rsidR="009C0600" w:rsidRDefault="009C0600">
      <w:pPr>
        <w:numPr>
          <w:ilvl w:val="0"/>
          <w:numId w:val="8"/>
        </w:numPr>
        <w:rPr>
          <w:rFonts w:ascii="Tahoma" w:hAnsi="Tahoma" w:cs="Tahoma"/>
          <w:sz w:val="16"/>
          <w:szCs w:val="16"/>
        </w:rPr>
      </w:pPr>
      <w:proofErr w:type="gramStart"/>
      <w:r>
        <w:rPr>
          <w:rFonts w:ascii="Tahoma" w:hAnsi="Tahoma" w:cs="Tahoma"/>
          <w:sz w:val="16"/>
          <w:szCs w:val="16"/>
        </w:rPr>
        <w:t>Applicant</w:t>
      </w:r>
      <w:proofErr w:type="gramEnd"/>
      <w:r>
        <w:rPr>
          <w:rFonts w:ascii="Tahoma" w:hAnsi="Tahoma" w:cs="Tahoma"/>
          <w:sz w:val="16"/>
          <w:szCs w:val="16"/>
        </w:rPr>
        <w:t xml:space="preserve"> will receive a secure link to temporarily link their bank account to verify income.</w:t>
      </w:r>
    </w:p>
    <w:p w14:paraId="08C5B8CC" w14:textId="3F616A57" w:rsidR="009C0600" w:rsidRPr="003A407A" w:rsidRDefault="009C0600">
      <w:pPr>
        <w:numPr>
          <w:ilvl w:val="0"/>
          <w:numId w:val="8"/>
        </w:numPr>
        <w:rPr>
          <w:rFonts w:ascii="Tahoma" w:hAnsi="Tahoma" w:cs="Tahoma"/>
          <w:sz w:val="16"/>
          <w:szCs w:val="16"/>
        </w:rPr>
      </w:pPr>
      <w:proofErr w:type="gramStart"/>
      <w:r>
        <w:rPr>
          <w:rFonts w:ascii="Tahoma" w:hAnsi="Tahoma" w:cs="Tahoma"/>
          <w:sz w:val="16"/>
          <w:szCs w:val="16"/>
        </w:rPr>
        <w:t>Applicant</w:t>
      </w:r>
      <w:proofErr w:type="gramEnd"/>
      <w:r>
        <w:rPr>
          <w:rFonts w:ascii="Tahoma" w:hAnsi="Tahoma" w:cs="Tahoma"/>
          <w:sz w:val="16"/>
          <w:szCs w:val="16"/>
        </w:rPr>
        <w:t xml:space="preserve"> may be required to verify identity by providing a copy of a government-issued photo identification card and upload an image of the applicant using a mobile device. </w:t>
      </w:r>
    </w:p>
    <w:sectPr w:rsidR="009C0600"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720446087">
    <w:abstractNumId w:val="6"/>
  </w:num>
  <w:num w:numId="2" w16cid:durableId="1383793116">
    <w:abstractNumId w:val="7"/>
  </w:num>
  <w:num w:numId="3" w16cid:durableId="1818301362">
    <w:abstractNumId w:val="0"/>
  </w:num>
  <w:num w:numId="4" w16cid:durableId="1704667472">
    <w:abstractNumId w:val="5"/>
  </w:num>
  <w:num w:numId="5" w16cid:durableId="2043364379">
    <w:abstractNumId w:val="4"/>
  </w:num>
  <w:num w:numId="6" w16cid:durableId="409891088">
    <w:abstractNumId w:val="1"/>
  </w:num>
  <w:num w:numId="7" w16cid:durableId="812408509">
    <w:abstractNumId w:val="2"/>
  </w:num>
  <w:num w:numId="8" w16cid:durableId="154734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75AE"/>
    <w:rsid w:val="00021152"/>
    <w:rsid w:val="0004691A"/>
    <w:rsid w:val="000A6E28"/>
    <w:rsid w:val="00142114"/>
    <w:rsid w:val="00145492"/>
    <w:rsid w:val="00234E2B"/>
    <w:rsid w:val="00240434"/>
    <w:rsid w:val="002460C7"/>
    <w:rsid w:val="00396BB1"/>
    <w:rsid w:val="003A407A"/>
    <w:rsid w:val="003A6669"/>
    <w:rsid w:val="003F7524"/>
    <w:rsid w:val="00466D95"/>
    <w:rsid w:val="00494F9C"/>
    <w:rsid w:val="004E62D8"/>
    <w:rsid w:val="00714164"/>
    <w:rsid w:val="00782254"/>
    <w:rsid w:val="007B13F2"/>
    <w:rsid w:val="008B6121"/>
    <w:rsid w:val="009C0600"/>
    <w:rsid w:val="00A15E47"/>
    <w:rsid w:val="00A42AC4"/>
    <w:rsid w:val="00A527D0"/>
    <w:rsid w:val="00C41DC3"/>
    <w:rsid w:val="00D62346"/>
    <w:rsid w:val="00E26BE9"/>
    <w:rsid w:val="00E7601A"/>
    <w:rsid w:val="00EE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C30D2"/>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6CDF-8BFE-4877-BE70-391BDCAE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Scott Beals</cp:lastModifiedBy>
  <cp:revision>2</cp:revision>
  <cp:lastPrinted>2005-12-14T16:55:00Z</cp:lastPrinted>
  <dcterms:created xsi:type="dcterms:W3CDTF">2024-06-07T20:09:00Z</dcterms:created>
  <dcterms:modified xsi:type="dcterms:W3CDTF">2024-06-07T20:09:00Z</dcterms:modified>
</cp:coreProperties>
</file>